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A46D8" w14:textId="67911E9A" w:rsidR="000E26DA" w:rsidRDefault="00C36034">
      <w:pPr>
        <w:pStyle w:val="berschrift1"/>
        <w:rPr>
          <w:rFonts w:eastAsia="Times New Roman"/>
          <w:color w:val="000000"/>
          <w:kern w:val="36"/>
        </w:rPr>
      </w:pPr>
      <w:r>
        <w:rPr>
          <w:rFonts w:eastAsia="Times New Roman"/>
          <w:color w:val="000000"/>
        </w:rPr>
        <w:t>G</w:t>
      </w:r>
      <w:r w:rsidR="000E26DA">
        <w:rPr>
          <w:rFonts w:eastAsia="Times New Roman"/>
          <w:color w:val="000000"/>
        </w:rPr>
        <w:t>ROW-Musterformular: EU-Konformitätserklärung gemäß PPWR für GROW-Obst- und Gemüsekisten nach Artikel 39 PPWR in Verbindung mit Anhang VIII PPWR</w:t>
      </w:r>
    </w:p>
    <w:p w14:paraId="03FC905C" w14:textId="77777777" w:rsidR="000E26DA" w:rsidRDefault="000E26DA">
      <w:pPr>
        <w:pStyle w:val="berschrift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Version: 1.1 (März 2026)</w:t>
      </w:r>
    </w:p>
    <w:p w14:paraId="1D5F1D37" w14:textId="77777777" w:rsidR="007C330F" w:rsidRDefault="007C330F" w:rsidP="0018135C">
      <w:pPr>
        <w:rPr>
          <w:b/>
        </w:rPr>
      </w:pPr>
    </w:p>
    <w:p w14:paraId="1DA0DA03" w14:textId="679D6CAD" w:rsidR="0018135C" w:rsidRPr="001A0D9F" w:rsidRDefault="0018135C" w:rsidP="0018135C">
      <w:pPr>
        <w:rPr>
          <w:b/>
        </w:rPr>
      </w:pPr>
      <w:r w:rsidRPr="001A0D9F">
        <w:rPr>
          <w:b/>
        </w:rPr>
        <w:t>1. GROW-Konformitätserklärung Nr. 1: GROW-Obst- und Gemüsekisten</w:t>
      </w:r>
    </w:p>
    <w:p w14:paraId="7E739EED" w14:textId="77777777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Diese Konformitätserklärung gilt für die GROW-Obst- und Gemüsekisten.</w:t>
      </w:r>
    </w:p>
    <w:p w14:paraId="056C7BBB" w14:textId="07B6B06E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 xml:space="preserve">Die Kisten bestehen aus Eckleisten aus Buchenholz oder anderen Harthölzern, Böden und Seitenteilen aus Pappelholzfurnier, Pappel-Sperrholz oder MDF und werden </w:t>
      </w:r>
      <w:r w:rsidR="008A6E1A" w:rsidRPr="001A0D9F">
        <w:rPr>
          <w:rFonts w:ascii="Aptos" w:hAnsi="Aptos"/>
          <w:color w:val="000000"/>
        </w:rPr>
        <w:t>mittels recycelbaren Stahldrahtes</w:t>
      </w:r>
      <w:r w:rsidRPr="001A0D9F">
        <w:rPr>
          <w:rFonts w:ascii="Aptos" w:hAnsi="Aptos"/>
          <w:color w:val="000000"/>
        </w:rPr>
        <w:t xml:space="preserve"> verbunden. Verfügbare Standardformate sind 20x30 cm, 30x40 cm und 40x60 cm </w:t>
      </w:r>
      <w:r w:rsidR="0054320D" w:rsidRPr="001A0D9F">
        <w:rPr>
          <w:rFonts w:ascii="Aptos" w:hAnsi="Aptos"/>
          <w:color w:val="000000"/>
        </w:rPr>
        <w:t xml:space="preserve">sowie 30x50cm </w:t>
      </w:r>
      <w:r w:rsidRPr="001A0D9F">
        <w:rPr>
          <w:rFonts w:ascii="Aptos" w:hAnsi="Aptos"/>
          <w:color w:val="000000"/>
        </w:rPr>
        <w:t>mit produktspezifischen Höhen.</w:t>
      </w:r>
    </w:p>
    <w:p w14:paraId="722EC436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b/>
          <w:color w:val="000000"/>
        </w:rPr>
        <w:t>2. Name und Anschrift des Herstellers der Verpackung</w:t>
      </w:r>
    </w:p>
    <w:p w14:paraId="1F601916" w14:textId="39E66CF8" w:rsidR="00343B13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Der </w:t>
      </w:r>
      <w:r w:rsidR="004005E5">
        <w:rPr>
          <w:rFonts w:ascii="Calibri" w:hAnsi="Calibri" w:cs="Calibri"/>
          <w:color w:val="000000"/>
        </w:rPr>
        <w:t>Hersteller (</w:t>
      </w:r>
      <w:proofErr w:type="spellStart"/>
      <w:r w:rsidR="00343B13" w:rsidRPr="001A0D9F">
        <w:rPr>
          <w:rFonts w:ascii="Calibri" w:hAnsi="Calibri" w:cs="Calibri"/>
          <w:color w:val="000000"/>
        </w:rPr>
        <w:t>Befüller</w:t>
      </w:r>
      <w:proofErr w:type="spellEnd"/>
      <w:r w:rsidR="00343B13" w:rsidRPr="001A0D9F">
        <w:rPr>
          <w:rFonts w:ascii="Calibri" w:hAnsi="Calibri" w:cs="Calibri"/>
          <w:color w:val="000000"/>
        </w:rPr>
        <w:t>/Inverkehrbringer</w:t>
      </w:r>
      <w:r w:rsidR="004005E5">
        <w:rPr>
          <w:rFonts w:ascii="Calibri" w:hAnsi="Calibri" w:cs="Calibri"/>
          <w:color w:val="000000"/>
        </w:rPr>
        <w:t>)</w:t>
      </w:r>
      <w:r w:rsidRPr="001A0D9F">
        <w:rPr>
          <w:rFonts w:ascii="Calibri" w:hAnsi="Calibri" w:cs="Calibri"/>
          <w:color w:val="000000"/>
        </w:rPr>
        <w:t xml:space="preserve"> der GROW-</w:t>
      </w:r>
      <w:r w:rsidR="008C31C0" w:rsidRPr="001A0D9F">
        <w:rPr>
          <w:rFonts w:ascii="Calibri" w:hAnsi="Calibri" w:cs="Calibri"/>
          <w:color w:val="000000"/>
        </w:rPr>
        <w:t>Holzsteigen</w:t>
      </w:r>
      <w:r w:rsidRPr="001A0D9F">
        <w:rPr>
          <w:rFonts w:ascii="Calibri" w:hAnsi="Calibri" w:cs="Calibri"/>
          <w:color w:val="000000"/>
        </w:rPr>
        <w:t xml:space="preserve"> ist </w:t>
      </w:r>
    </w:p>
    <w:p w14:paraId="3B5C29C6" w14:textId="57EF47E0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…………………………….. (Name und Anschrift des Verpackungsherstellers)</w:t>
      </w:r>
    </w:p>
    <w:p w14:paraId="29AAB572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b/>
          <w:color w:val="000000"/>
        </w:rPr>
        <w:t>3. Organisation für die standardisierten Vorgaben der Verpackung</w:t>
      </w:r>
    </w:p>
    <w:p w14:paraId="0B23764E" w14:textId="4DBD9A43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Die technischen Anforderungen an GROW-Kisten werden durch folgende Organisation</w:t>
      </w:r>
      <w:r w:rsidR="00F67E60" w:rsidRPr="001A0D9F">
        <w:rPr>
          <w:rFonts w:ascii="Aptos" w:hAnsi="Aptos"/>
          <w:color w:val="000000"/>
        </w:rPr>
        <w:t>en</w:t>
      </w:r>
      <w:r w:rsidRPr="001A0D9F">
        <w:rPr>
          <w:rFonts w:ascii="Aptos" w:hAnsi="Aptos"/>
          <w:color w:val="000000"/>
        </w:rPr>
        <w:t xml:space="preserve"> festgelegt:</w:t>
      </w:r>
    </w:p>
    <w:p w14:paraId="28127B2E" w14:textId="4B9368C7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GROW e.V. – </w:t>
      </w:r>
      <w:r w:rsidR="00387DAD" w:rsidRPr="001A0D9F">
        <w:rPr>
          <w:rFonts w:ascii="Calibri" w:hAnsi="Calibri" w:cs="Calibri"/>
          <w:color w:val="000000"/>
        </w:rPr>
        <w:t>Verein für umweltfreundliche Holzverpackungen</w:t>
      </w:r>
    </w:p>
    <w:p w14:paraId="1204D302" w14:textId="784CCC40" w:rsidR="00C8486C" w:rsidRPr="001A0D9F" w:rsidRDefault="00C8486C" w:rsidP="0018135C">
      <w:pPr>
        <w:rPr>
          <w:rFonts w:ascii="Calibri" w:hAnsi="Calibri" w:cs="Calibri"/>
          <w:color w:val="000000"/>
          <w:lang w:val="en-GB"/>
        </w:rPr>
      </w:pPr>
      <w:r w:rsidRPr="001A0D9F">
        <w:rPr>
          <w:rFonts w:ascii="Calibri" w:hAnsi="Calibri" w:cs="Calibri"/>
          <w:color w:val="000000"/>
          <w:lang w:val="en-GB"/>
        </w:rPr>
        <w:t>GROW GmbH Group Recycling of Wood</w:t>
      </w:r>
    </w:p>
    <w:p w14:paraId="790D7671" w14:textId="1C4972E7" w:rsidR="0018135C" w:rsidRPr="001A0D9F" w:rsidRDefault="00387DAD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Hauptstraße 98</w:t>
      </w:r>
      <w:r w:rsidR="0018135C" w:rsidRPr="001A0D9F">
        <w:rPr>
          <w:rFonts w:ascii="Aptos" w:hAnsi="Aptos"/>
          <w:color w:val="000000"/>
        </w:rPr>
        <w:t xml:space="preserve">, </w:t>
      </w:r>
      <w:r w:rsidRPr="001A0D9F">
        <w:rPr>
          <w:rFonts w:ascii="Aptos" w:hAnsi="Aptos"/>
          <w:color w:val="000000"/>
        </w:rPr>
        <w:t>67133 Maxdorf</w:t>
      </w:r>
      <w:r w:rsidR="0018135C" w:rsidRPr="001A0D9F">
        <w:rPr>
          <w:rFonts w:ascii="Aptos" w:hAnsi="Aptos"/>
          <w:color w:val="000000"/>
        </w:rPr>
        <w:t>, Deutschland</w:t>
      </w:r>
    </w:p>
    <w:p w14:paraId="6AB1ED3D" w14:textId="3E67C0B2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 xml:space="preserve">Tel: +49 </w:t>
      </w:r>
      <w:r w:rsidR="00387DAD" w:rsidRPr="001A0D9F">
        <w:rPr>
          <w:rFonts w:ascii="Aptos" w:hAnsi="Aptos"/>
          <w:color w:val="000000"/>
        </w:rPr>
        <w:t>6237</w:t>
      </w:r>
      <w:r w:rsidRPr="001A0D9F">
        <w:rPr>
          <w:rFonts w:ascii="Aptos" w:hAnsi="Aptos"/>
          <w:color w:val="000000"/>
        </w:rPr>
        <w:t xml:space="preserve"> </w:t>
      </w:r>
      <w:r w:rsidR="00387DAD" w:rsidRPr="001A0D9F">
        <w:rPr>
          <w:rFonts w:ascii="Aptos" w:hAnsi="Aptos"/>
          <w:color w:val="000000"/>
        </w:rPr>
        <w:t>929593</w:t>
      </w:r>
      <w:r w:rsidRPr="001A0D9F">
        <w:rPr>
          <w:rFonts w:ascii="Aptos" w:hAnsi="Aptos"/>
          <w:color w:val="000000"/>
        </w:rPr>
        <w:t xml:space="preserve"> | E-Mail: </w:t>
      </w:r>
      <w:r w:rsidR="00387DAD" w:rsidRPr="001A0D9F">
        <w:rPr>
          <w:rFonts w:ascii="Aptos" w:hAnsi="Aptos"/>
          <w:color w:val="000000"/>
        </w:rPr>
        <w:t>grow-gmbh@t-online.de</w:t>
      </w:r>
    </w:p>
    <w:p w14:paraId="400F7B41" w14:textId="5AC7544A" w:rsidR="00387DAD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GROW-</w:t>
      </w:r>
      <w:r w:rsidR="00F83D37" w:rsidRPr="001A0D9F">
        <w:rPr>
          <w:rFonts w:ascii="Aptos" w:hAnsi="Aptos"/>
          <w:color w:val="000000"/>
        </w:rPr>
        <w:t>Holzsteigen</w:t>
      </w:r>
      <w:r w:rsidR="007F0F9E" w:rsidRPr="001A0D9F">
        <w:rPr>
          <w:rFonts w:ascii="Aptos" w:hAnsi="Aptos"/>
          <w:color w:val="000000"/>
        </w:rPr>
        <w:t xml:space="preserve"> sind bei sachgemäßer Verwendung auch als</w:t>
      </w:r>
      <w:r w:rsidRPr="001A0D9F">
        <w:rPr>
          <w:rFonts w:ascii="Aptos" w:hAnsi="Aptos"/>
          <w:color w:val="000000"/>
        </w:rPr>
        <w:t xml:space="preserve"> Mehrwegsystem gemäß Art. 29 (1) PPWR </w:t>
      </w:r>
      <w:r w:rsidR="00F83D37" w:rsidRPr="001A0D9F">
        <w:rPr>
          <w:rFonts w:ascii="Aptos" w:hAnsi="Aptos"/>
          <w:color w:val="000000"/>
        </w:rPr>
        <w:t>verwendbar</w:t>
      </w:r>
      <w:r w:rsidRPr="001A0D9F">
        <w:rPr>
          <w:rFonts w:ascii="Aptos" w:hAnsi="Aptos"/>
          <w:color w:val="000000"/>
        </w:rPr>
        <w:t xml:space="preserve"> und erfüll</w:t>
      </w:r>
      <w:r w:rsidR="007F0F9E" w:rsidRPr="001A0D9F">
        <w:rPr>
          <w:rFonts w:ascii="Aptos" w:hAnsi="Aptos"/>
          <w:color w:val="000000"/>
        </w:rPr>
        <w:t>en</w:t>
      </w:r>
      <w:r w:rsidRPr="001A0D9F">
        <w:rPr>
          <w:rFonts w:ascii="Aptos" w:hAnsi="Aptos"/>
          <w:color w:val="000000"/>
        </w:rPr>
        <w:t xml:space="preserve"> die Anforderungen an offene Mehrwegsysteme laut Anhang VI, Teil A, Nr. 1 und 3 PPWR.</w:t>
      </w:r>
    </w:p>
    <w:p w14:paraId="2BF99445" w14:textId="77777777" w:rsidR="00387DAD" w:rsidRPr="001A0D9F" w:rsidRDefault="00387DAD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br w:type="page"/>
      </w:r>
    </w:p>
    <w:p w14:paraId="2E1445D2" w14:textId="77777777" w:rsidR="0018135C" w:rsidRPr="001A0D9F" w:rsidRDefault="0018135C" w:rsidP="0018135C">
      <w:pPr>
        <w:rPr>
          <w:rFonts w:ascii="Aptos" w:hAnsi="Aptos"/>
          <w:color w:val="000000"/>
        </w:rPr>
      </w:pPr>
    </w:p>
    <w:p w14:paraId="54E7F9C8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b/>
          <w:color w:val="000000"/>
        </w:rPr>
        <w:t>4. Verantwortung des Verpackungsherstellers</w:t>
      </w:r>
    </w:p>
    <w:p w14:paraId="76F0ACB1" w14:textId="402076E5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Der unter Punkt 2 genannte Hersteller trägt die alleinige Verantwortung für die Konformität der jeweiligen GROW-</w:t>
      </w:r>
      <w:r w:rsidR="0013128C" w:rsidRPr="001A0D9F">
        <w:rPr>
          <w:rFonts w:ascii="Aptos" w:hAnsi="Aptos"/>
          <w:color w:val="000000"/>
        </w:rPr>
        <w:t>Holzsteigen</w:t>
      </w:r>
      <w:r w:rsidRPr="001A0D9F">
        <w:rPr>
          <w:rFonts w:ascii="Aptos" w:hAnsi="Aptos"/>
          <w:color w:val="000000"/>
        </w:rPr>
        <w:t xml:space="preserve"> mit den Vorgaben der PPWR und de</w:t>
      </w:r>
      <w:r w:rsidR="003534F5">
        <w:rPr>
          <w:rFonts w:ascii="Aptos" w:hAnsi="Aptos"/>
          <w:color w:val="000000"/>
        </w:rPr>
        <w:t>r Lieferant garantier</w:t>
      </w:r>
      <w:r w:rsidR="00977E01">
        <w:rPr>
          <w:rFonts w:ascii="Aptos" w:hAnsi="Aptos"/>
          <w:color w:val="000000"/>
        </w:rPr>
        <w:t xml:space="preserve"> die Einhaltung der</w:t>
      </w:r>
      <w:r w:rsidRPr="001A0D9F">
        <w:rPr>
          <w:rFonts w:ascii="Aptos" w:hAnsi="Aptos"/>
          <w:color w:val="000000"/>
        </w:rPr>
        <w:t xml:space="preserve"> GROW-Spezifikationen</w:t>
      </w:r>
      <w:r w:rsidR="0013128C" w:rsidRPr="001A0D9F">
        <w:rPr>
          <w:rFonts w:ascii="Aptos" w:hAnsi="Aptos"/>
          <w:color w:val="000000"/>
        </w:rPr>
        <w:t xml:space="preserve"> (Recycelbarkeit, </w:t>
      </w:r>
      <w:r w:rsidR="00280D25" w:rsidRPr="001A0D9F">
        <w:rPr>
          <w:rFonts w:ascii="Aptos" w:hAnsi="Aptos"/>
          <w:color w:val="000000"/>
        </w:rPr>
        <w:t xml:space="preserve">frei von Schwermetallen, PFAS und Holzschutzmitteln, </w:t>
      </w:r>
      <w:r w:rsidR="0013128C" w:rsidRPr="001A0D9F">
        <w:rPr>
          <w:rFonts w:ascii="Aptos" w:hAnsi="Aptos"/>
          <w:color w:val="000000"/>
        </w:rPr>
        <w:t>nachhaltige Holzquellen</w:t>
      </w:r>
      <w:r w:rsidR="00280D25" w:rsidRPr="001A0D9F">
        <w:rPr>
          <w:rFonts w:ascii="Aptos" w:hAnsi="Aptos"/>
          <w:color w:val="000000"/>
        </w:rPr>
        <w:t>)</w:t>
      </w:r>
      <w:r w:rsidRPr="001A0D9F">
        <w:rPr>
          <w:rFonts w:ascii="Aptos" w:hAnsi="Aptos"/>
          <w:color w:val="000000"/>
        </w:rPr>
        <w:t>.</w:t>
      </w:r>
    </w:p>
    <w:p w14:paraId="15BA2E52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b/>
          <w:color w:val="000000"/>
        </w:rPr>
        <w:t>5. Gegenstand und Beschreibung der Verpackung</w:t>
      </w:r>
    </w:p>
    <w:p w14:paraId="6697D75C" w14:textId="64E40D1F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GROW-</w:t>
      </w:r>
      <w:r w:rsidR="0013128C" w:rsidRPr="001A0D9F">
        <w:rPr>
          <w:rFonts w:ascii="Calibri" w:hAnsi="Calibri" w:cs="Calibri"/>
          <w:color w:val="000000"/>
        </w:rPr>
        <w:t>Holzsteigen</w:t>
      </w:r>
      <w:r w:rsidRPr="001A0D9F">
        <w:rPr>
          <w:rFonts w:ascii="Calibri" w:hAnsi="Calibri" w:cs="Calibri"/>
          <w:color w:val="000000"/>
        </w:rPr>
        <w:t xml:space="preserve"> verfügen über folgende Eigenschaften:</w:t>
      </w:r>
    </w:p>
    <w:p w14:paraId="53044630" w14:textId="77777777" w:rsidR="0018135C" w:rsidRPr="001A0D9F" w:rsidRDefault="0018135C" w:rsidP="0018135C">
      <w:pPr>
        <w:pStyle w:val="Listenabsatz"/>
        <w:numPr>
          <w:ilvl w:val="0"/>
          <w:numId w:val="2"/>
        </w:numPr>
        <w:ind w:left="720"/>
      </w:pPr>
      <w:r w:rsidRPr="001A0D9F">
        <w:t>Flachkisten aus Eckleisten (Buche/Hartholz) und Böden/Seiten aus Pappelholzfurnier, Pappel-Sperrholz oder MDF, geheftet mit recycelbarem Stahldraht</w:t>
      </w:r>
    </w:p>
    <w:p w14:paraId="307B5836" w14:textId="77777777" w:rsidR="0018135C" w:rsidRPr="001A0D9F" w:rsidRDefault="0018135C" w:rsidP="0018135C">
      <w:pPr>
        <w:pStyle w:val="Listenabsatz"/>
        <w:numPr>
          <w:ilvl w:val="0"/>
          <w:numId w:val="2"/>
        </w:numPr>
        <w:ind w:left="720"/>
      </w:pPr>
      <w:r w:rsidRPr="001A0D9F">
        <w:t>Standardformate: 20x30 cm, 30x40 cm, 40x60 cm, produktspezifische Höhen</w:t>
      </w:r>
    </w:p>
    <w:p w14:paraId="3EAE158B" w14:textId="77777777" w:rsidR="0018135C" w:rsidRPr="001A0D9F" w:rsidRDefault="0018135C" w:rsidP="0018135C">
      <w:pPr>
        <w:pStyle w:val="Listenabsatz"/>
        <w:numPr>
          <w:ilvl w:val="0"/>
          <w:numId w:val="2"/>
        </w:numPr>
        <w:ind w:left="720"/>
      </w:pPr>
      <w:r w:rsidRPr="001A0D9F">
        <w:t>Transportverpackung gemäß Art. 3 (7) PPWR und Art. 29 Abs. 1–3 PPWR; geeignet für Transport und Lagerung von Obst und Gemüse zwischen Unternehmen</w:t>
      </w:r>
    </w:p>
    <w:p w14:paraId="2A6E0E6A" w14:textId="1C802DA9" w:rsidR="0018135C" w:rsidRPr="001A0D9F" w:rsidRDefault="0018135C" w:rsidP="0018135C">
      <w:pPr>
        <w:pStyle w:val="Listenabsatz"/>
        <w:numPr>
          <w:ilvl w:val="0"/>
          <w:numId w:val="2"/>
        </w:numPr>
        <w:ind w:left="720"/>
      </w:pPr>
      <w:r w:rsidRPr="001A0D9F">
        <w:t>Mehrwegverpackung nach EN 13429:2004, Art. 11 Abs. 1 und Art. 29 Abs. 1–3 PPWR; Wiedereinsatz im offenen System</w:t>
      </w:r>
      <w:r w:rsidR="00387DAD" w:rsidRPr="001A0D9F">
        <w:t xml:space="preserve"> möglich</w:t>
      </w:r>
    </w:p>
    <w:p w14:paraId="10ADE9C8" w14:textId="77777777" w:rsidR="0018135C" w:rsidRPr="001A0D9F" w:rsidRDefault="0018135C" w:rsidP="0018135C">
      <w:pPr>
        <w:pStyle w:val="Listenabsatz"/>
        <w:numPr>
          <w:ilvl w:val="0"/>
          <w:numId w:val="2"/>
        </w:numPr>
        <w:ind w:left="720"/>
      </w:pPr>
      <w:r w:rsidRPr="001A0D9F">
        <w:t>Erfüllt die Vorgaben für Mehrwegverpackungen nach Art. 29 Abs. 1–3 PPWR</w:t>
      </w:r>
    </w:p>
    <w:p w14:paraId="68F44DC3" w14:textId="77777777" w:rsidR="0018135C" w:rsidRPr="001A0D9F" w:rsidRDefault="0018135C" w:rsidP="0018135C">
      <w:pPr>
        <w:pStyle w:val="Listenabsatz"/>
        <w:numPr>
          <w:ilvl w:val="0"/>
          <w:numId w:val="2"/>
        </w:numPr>
        <w:ind w:left="720"/>
      </w:pPr>
      <w:r w:rsidRPr="001A0D9F">
        <w:t>Nicht für Endverbraucher vorgesehen</w:t>
      </w:r>
    </w:p>
    <w:p w14:paraId="3167B8EA" w14:textId="502074D4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 xml:space="preserve">Weitere technische Spezifikationen sind der Technischen </w:t>
      </w:r>
      <w:r w:rsidR="009C636B">
        <w:rPr>
          <w:rFonts w:ascii="Aptos" w:hAnsi="Aptos"/>
          <w:color w:val="000000"/>
        </w:rPr>
        <w:t>Darstellung</w:t>
      </w:r>
      <w:r w:rsidRPr="001A0D9F">
        <w:rPr>
          <w:rFonts w:ascii="Aptos" w:hAnsi="Aptos"/>
          <w:color w:val="000000"/>
        </w:rPr>
        <w:t xml:space="preserve"> (Anhang 1) und der Technischen Dokumentation </w:t>
      </w:r>
      <w:r w:rsidR="002373B4">
        <w:rPr>
          <w:rFonts w:ascii="Aptos" w:hAnsi="Aptos"/>
          <w:color w:val="000000"/>
        </w:rPr>
        <w:t xml:space="preserve">(GROW-Standardformate und deren Verwendungsoptionen) </w:t>
      </w:r>
      <w:r w:rsidRPr="001A0D9F">
        <w:rPr>
          <w:rFonts w:ascii="Aptos" w:hAnsi="Aptos"/>
          <w:color w:val="000000"/>
        </w:rPr>
        <w:t>zu entnehmen.</w:t>
      </w:r>
    </w:p>
    <w:p w14:paraId="6D9C4EB6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b/>
          <w:color w:val="000000"/>
        </w:rPr>
        <w:t>6. Relevante EU-Gesetzgebung</w:t>
      </w:r>
    </w:p>
    <w:p w14:paraId="2A913728" w14:textId="65DA7C65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Die GROW-</w:t>
      </w:r>
      <w:r w:rsidR="007D1534">
        <w:rPr>
          <w:rFonts w:ascii="Aptos" w:hAnsi="Aptos"/>
          <w:color w:val="000000"/>
        </w:rPr>
        <w:t>Holzsteigen</w:t>
      </w:r>
      <w:r w:rsidRPr="001A0D9F">
        <w:rPr>
          <w:rFonts w:ascii="Aptos" w:hAnsi="Aptos"/>
          <w:color w:val="000000"/>
        </w:rPr>
        <w:t xml:space="preserve"> erfüllen sämtliche Anforderungen der PPWR-Konformität gemäß Art. 39 PPWR in Verbindung mit Art. 5–12 PPWR:</w:t>
      </w:r>
    </w:p>
    <w:p w14:paraId="6BE57C29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color w:val="000000"/>
        </w:rPr>
        <w:t xml:space="preserve">6.1 </w:t>
      </w:r>
      <w:r w:rsidRPr="001A0D9F">
        <w:rPr>
          <w:rFonts w:ascii="Aptos" w:hAnsi="Aptos"/>
          <w:b/>
          <w:color w:val="000000"/>
        </w:rPr>
        <w:t>Art. 5 PPWR – Stoffanforderungen:</w:t>
      </w:r>
    </w:p>
    <w:p w14:paraId="50CC4243" w14:textId="1EF0E35A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Die verwendeten Holzwerkstoffe sowie der Stahldraht enthalten keine besorgniserregenden Stoffe</w:t>
      </w:r>
      <w:r w:rsidR="007F44BC" w:rsidRPr="001A0D9F">
        <w:rPr>
          <w:rFonts w:ascii="Aptos" w:hAnsi="Aptos"/>
          <w:color w:val="000000"/>
        </w:rPr>
        <w:t xml:space="preserve"> oder PFAS</w:t>
      </w:r>
      <w:r w:rsidRPr="001A0D9F">
        <w:rPr>
          <w:rFonts w:ascii="Aptos" w:hAnsi="Aptos"/>
          <w:color w:val="000000"/>
        </w:rPr>
        <w:t>. MDF und Sperrholz entsprechen den Vorgaben der REACH-Verordnung (EG) Nr. 1907/2006 sowie der Verordnung (EU) 2023/1464.</w:t>
      </w:r>
    </w:p>
    <w:p w14:paraId="6ECFA2F0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color w:val="000000"/>
        </w:rPr>
        <w:t xml:space="preserve">6.2 </w:t>
      </w:r>
      <w:r w:rsidRPr="001A0D9F">
        <w:rPr>
          <w:rFonts w:ascii="Aptos" w:hAnsi="Aptos"/>
          <w:b/>
          <w:color w:val="000000"/>
        </w:rPr>
        <w:t>Art. 6 PPWR – Recyclingfähigkeit:</w:t>
      </w:r>
    </w:p>
    <w:p w14:paraId="34751353" w14:textId="7359F065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Alle Materialkomponenten der GROW-</w:t>
      </w:r>
      <w:r w:rsidR="00645BA5" w:rsidRPr="001A0D9F">
        <w:rPr>
          <w:rFonts w:ascii="Calibri" w:hAnsi="Calibri" w:cs="Calibri"/>
          <w:color w:val="000000"/>
        </w:rPr>
        <w:t>Holzsteigen</w:t>
      </w:r>
      <w:r w:rsidRPr="001A0D9F">
        <w:rPr>
          <w:rFonts w:ascii="Calibri" w:hAnsi="Calibri" w:cs="Calibri"/>
          <w:color w:val="000000"/>
        </w:rPr>
        <w:t xml:space="preserve"> sind vollständig recycelbar und eignen sich zur Verwertung innerhalb der Spanplattenindustrie. Materialien können getrennt oder gemeinsam mit anderen recycelbaren Hölzern</w:t>
      </w:r>
      <w:r w:rsidR="005C5386">
        <w:rPr>
          <w:rFonts w:ascii="Calibri" w:hAnsi="Calibri" w:cs="Calibri"/>
          <w:color w:val="000000"/>
        </w:rPr>
        <w:t xml:space="preserve"> unter Einhaltung der Altholzverordnung als </w:t>
      </w:r>
      <w:r w:rsidR="00835036">
        <w:rPr>
          <w:rFonts w:ascii="Calibri" w:hAnsi="Calibri" w:cs="Calibri"/>
          <w:color w:val="000000"/>
        </w:rPr>
        <w:t xml:space="preserve">Kategorie </w:t>
      </w:r>
      <w:r w:rsidR="005C5386">
        <w:rPr>
          <w:rFonts w:ascii="Calibri" w:hAnsi="Calibri" w:cs="Calibri"/>
          <w:color w:val="000000"/>
        </w:rPr>
        <w:t>A1 oder A2</w:t>
      </w:r>
      <w:r w:rsidR="00835036">
        <w:rPr>
          <w:rFonts w:ascii="Calibri" w:hAnsi="Calibri" w:cs="Calibri"/>
          <w:color w:val="000000"/>
        </w:rPr>
        <w:t xml:space="preserve"> erfasst und recycelt werden</w:t>
      </w:r>
      <w:r w:rsidRPr="001A0D9F">
        <w:rPr>
          <w:rFonts w:ascii="Calibri" w:hAnsi="Calibri" w:cs="Calibri"/>
          <w:color w:val="000000"/>
        </w:rPr>
        <w:t>.</w:t>
      </w:r>
    </w:p>
    <w:p w14:paraId="4FB7F9AB" w14:textId="77777777" w:rsidR="0018135C" w:rsidRPr="001A0D9F" w:rsidRDefault="0018135C" w:rsidP="0018135C">
      <w:pPr>
        <w:rPr>
          <w:rFonts w:ascii="Calibri" w:hAnsi="Calibri" w:cs="Calibri"/>
          <w:b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6.3 </w:t>
      </w:r>
      <w:r w:rsidRPr="001A0D9F">
        <w:rPr>
          <w:rFonts w:ascii="Calibri" w:hAnsi="Calibri" w:cs="Calibri"/>
          <w:b/>
          <w:color w:val="000000"/>
        </w:rPr>
        <w:t>Art. 7 PPWR – Mindestanteil an recyceltem Kunststoff:</w:t>
      </w:r>
    </w:p>
    <w:p w14:paraId="61C4CB31" w14:textId="77777777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Die Kisten enthalten keinerlei Kunststoffbestandteile, daher sind die Artikel 7 und 8 PPWR nicht relevant.</w:t>
      </w:r>
    </w:p>
    <w:p w14:paraId="590F79DD" w14:textId="77777777" w:rsidR="0018135C" w:rsidRPr="001A0D9F" w:rsidRDefault="0018135C" w:rsidP="0018135C">
      <w:pPr>
        <w:rPr>
          <w:rFonts w:ascii="Calibri" w:hAnsi="Calibri" w:cs="Calibri"/>
          <w:b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6.4 </w:t>
      </w:r>
      <w:r w:rsidRPr="001A0D9F">
        <w:rPr>
          <w:rFonts w:ascii="Calibri" w:hAnsi="Calibri" w:cs="Calibri"/>
          <w:b/>
          <w:color w:val="000000"/>
        </w:rPr>
        <w:t>Art. 8 PPWR – Biobasierte Rohstoffe:</w:t>
      </w:r>
    </w:p>
    <w:p w14:paraId="639A3935" w14:textId="77777777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Nicht zutreffend, da keine Kunststoffverpackung vorliegt.</w:t>
      </w:r>
    </w:p>
    <w:p w14:paraId="6DBFD833" w14:textId="77777777" w:rsidR="0046072F" w:rsidRDefault="0046072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66AACBC" w14:textId="4287C5E6" w:rsidR="0018135C" w:rsidRPr="001A0D9F" w:rsidRDefault="0018135C" w:rsidP="0018135C">
      <w:pPr>
        <w:rPr>
          <w:rFonts w:ascii="Calibri" w:hAnsi="Calibri" w:cs="Calibri"/>
          <w:b/>
          <w:color w:val="000000"/>
        </w:rPr>
      </w:pPr>
      <w:r w:rsidRPr="001A0D9F">
        <w:rPr>
          <w:rFonts w:ascii="Calibri" w:hAnsi="Calibri" w:cs="Calibri"/>
          <w:color w:val="000000"/>
        </w:rPr>
        <w:lastRenderedPageBreak/>
        <w:t xml:space="preserve">6.5 </w:t>
      </w:r>
      <w:r w:rsidRPr="001A0D9F">
        <w:rPr>
          <w:rFonts w:ascii="Calibri" w:hAnsi="Calibri" w:cs="Calibri"/>
          <w:b/>
          <w:color w:val="000000"/>
        </w:rPr>
        <w:t>Art. 9 PPWR – Kompostierbarkeit:</w:t>
      </w:r>
    </w:p>
    <w:p w14:paraId="00082FAA" w14:textId="7A92159E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Die Kisten sind nicht als kompostierbare Verpackung </w:t>
      </w:r>
      <w:r w:rsidR="007F44BC" w:rsidRPr="001A0D9F">
        <w:rPr>
          <w:rFonts w:ascii="Calibri" w:hAnsi="Calibri" w:cs="Calibri"/>
          <w:color w:val="000000"/>
        </w:rPr>
        <w:t xml:space="preserve">ausgelegt, </w:t>
      </w:r>
      <w:r w:rsidR="001D3256" w:rsidRPr="001A0D9F">
        <w:rPr>
          <w:rFonts w:ascii="Calibri" w:hAnsi="Calibri" w:cs="Calibri"/>
          <w:color w:val="000000"/>
        </w:rPr>
        <w:t>aber dennoch</w:t>
      </w:r>
      <w:r w:rsidR="007F44BC" w:rsidRPr="001A0D9F">
        <w:rPr>
          <w:rFonts w:ascii="Calibri" w:hAnsi="Calibri" w:cs="Calibri"/>
          <w:color w:val="000000"/>
        </w:rPr>
        <w:t xml:space="preserve"> im industriellen Maße kompostierbar</w:t>
      </w:r>
      <w:r w:rsidRPr="001A0D9F">
        <w:rPr>
          <w:rFonts w:ascii="Calibri" w:hAnsi="Calibri" w:cs="Calibri"/>
          <w:color w:val="000000"/>
        </w:rPr>
        <w:t>; Art. 9 PPWR findet keine Anwendung.</w:t>
      </w:r>
    </w:p>
    <w:p w14:paraId="0B56369F" w14:textId="77777777" w:rsidR="0018135C" w:rsidRPr="001A0D9F" w:rsidRDefault="0018135C" w:rsidP="0018135C">
      <w:pPr>
        <w:rPr>
          <w:rFonts w:ascii="Calibri" w:hAnsi="Calibri" w:cs="Calibri"/>
          <w:b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6.6 </w:t>
      </w:r>
      <w:r w:rsidRPr="001A0D9F">
        <w:rPr>
          <w:rFonts w:ascii="Calibri" w:hAnsi="Calibri" w:cs="Calibri"/>
          <w:b/>
          <w:color w:val="000000"/>
        </w:rPr>
        <w:t>Art. 10 PPWR – Verpackungsminimierung:</w:t>
      </w:r>
    </w:p>
    <w:p w14:paraId="4BC2D3F0" w14:textId="56AC0D7A" w:rsidR="001D3256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Materialeinsatz, Maße und Volumen der Kisten sind strikt an Stabilität, Sicherheit und Wiederverwendbarkeit ausgerichtet.</w:t>
      </w:r>
    </w:p>
    <w:p w14:paraId="765976CC" w14:textId="77777777" w:rsidR="0018135C" w:rsidRPr="001A0D9F" w:rsidRDefault="0018135C" w:rsidP="0018135C">
      <w:pPr>
        <w:rPr>
          <w:rFonts w:ascii="Calibri" w:hAnsi="Calibri" w:cs="Calibri"/>
          <w:b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6.7 </w:t>
      </w:r>
      <w:r w:rsidRPr="001A0D9F">
        <w:rPr>
          <w:rFonts w:ascii="Calibri" w:hAnsi="Calibri" w:cs="Calibri"/>
          <w:b/>
          <w:color w:val="000000"/>
        </w:rPr>
        <w:t>Art. 11 PPWR – Mehrwegverpackung:</w:t>
      </w:r>
    </w:p>
    <w:p w14:paraId="70A3E1E0" w14:textId="77777777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Die Kisten sind für eine mehrjährige Nutzungsdauer konzipiert und erfüllen alle Anforderungen an Mehrwegverpackungen gemäß Art. 11 PPWR.</w:t>
      </w:r>
    </w:p>
    <w:p w14:paraId="1378E0B1" w14:textId="20726BA9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Lebensdauer: mehrere Jahre, zahlreiche Umläufe pro Jahr </w:t>
      </w:r>
      <w:r w:rsidR="0090265C" w:rsidRPr="001A0D9F">
        <w:rPr>
          <w:rFonts w:ascii="Calibri" w:hAnsi="Calibri" w:cs="Calibri"/>
          <w:color w:val="000000"/>
        </w:rPr>
        <w:t xml:space="preserve">im offenen System </w:t>
      </w:r>
      <w:r w:rsidR="0089063E" w:rsidRPr="001A0D9F">
        <w:rPr>
          <w:rFonts w:ascii="Calibri" w:hAnsi="Calibri" w:cs="Calibri"/>
          <w:color w:val="000000"/>
        </w:rPr>
        <w:t xml:space="preserve">oder durch organsierten Gebrauchtkistenmarkt </w:t>
      </w:r>
      <w:r w:rsidRPr="001A0D9F">
        <w:rPr>
          <w:rFonts w:ascii="Calibri" w:hAnsi="Calibri" w:cs="Calibri"/>
          <w:color w:val="000000"/>
        </w:rPr>
        <w:t>möglich.</w:t>
      </w:r>
    </w:p>
    <w:p w14:paraId="66C424D6" w14:textId="77777777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Erfüllte Anforderungen gem. Art. 11 Abs. 1 PPWR:</w:t>
      </w:r>
    </w:p>
    <w:p w14:paraId="6AE6F215" w14:textId="77777777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Zweckmäßigkeit und Auslegung für Mehrfachnutzung, hohe Stabilität, Eignung für wechselnde Nutzer</w:t>
      </w:r>
    </w:p>
    <w:p w14:paraId="0FEBA7B9" w14:textId="77777777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Geeignet für zahlreiche Umläufe; defekte oder verschmutzte Kisten sind auszusondern</w:t>
      </w:r>
    </w:p>
    <w:p w14:paraId="48E355FD" w14:textId="6F259315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Keine Gefährdung von Gesundheit, Sicherheit oder Hygiene bei ordnungsgemäßer Nutzung</w:t>
      </w:r>
      <w:r w:rsidR="00BB7A9C">
        <w:t xml:space="preserve"> und trockener, gut belüfteter Lagerung</w:t>
      </w:r>
      <w:r w:rsidRPr="001A0D9F">
        <w:t>; umweltverträgliche Materialien</w:t>
      </w:r>
    </w:p>
    <w:p w14:paraId="77880F2B" w14:textId="77777777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Be- und Entladung ohne Beschädigung und Beeinträchtigung der Wiederverwendbarkeit</w:t>
      </w:r>
    </w:p>
    <w:p w14:paraId="4D2E7230" w14:textId="77777777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Einhaltung aller Sicherheits- und Hygienevorschriften beim Packgut</w:t>
      </w:r>
    </w:p>
    <w:p w14:paraId="4525BD71" w14:textId="4A919B7D" w:rsidR="0018135C" w:rsidRPr="001A0D9F" w:rsidRDefault="00D2139D" w:rsidP="0018135C">
      <w:pPr>
        <w:pStyle w:val="Listenabsatz"/>
        <w:numPr>
          <w:ilvl w:val="0"/>
          <w:numId w:val="3"/>
        </w:numPr>
        <w:ind w:left="720"/>
      </w:pPr>
      <w:r>
        <w:t xml:space="preserve">Reparatur und </w:t>
      </w:r>
      <w:r w:rsidR="0018135C" w:rsidRPr="001A0D9F">
        <w:t>Ersatz beschädigter Komponenten ist nicht vorgesehen</w:t>
      </w:r>
    </w:p>
    <w:p w14:paraId="4D4D13E6" w14:textId="77777777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Kennzeichnung durch Branding, Druck oder Etikettierung möglich</w:t>
      </w:r>
    </w:p>
    <w:p w14:paraId="3A24BB38" w14:textId="77777777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Handhabung ohne gesundheitliche Risiken bei Einhaltung der Arbeitsschutzmaßnahmen</w:t>
      </w:r>
    </w:p>
    <w:p w14:paraId="4800F2E0" w14:textId="77777777" w:rsidR="0018135C" w:rsidRPr="001A0D9F" w:rsidRDefault="0018135C" w:rsidP="0018135C">
      <w:pPr>
        <w:pStyle w:val="Listenabsatz"/>
        <w:numPr>
          <w:ilvl w:val="0"/>
          <w:numId w:val="3"/>
        </w:numPr>
        <w:ind w:left="720"/>
      </w:pPr>
      <w:r w:rsidRPr="001A0D9F">
        <w:t>Vollständige Recyclingfähigkeit nach Art. 6 PPWR</w:t>
      </w:r>
    </w:p>
    <w:p w14:paraId="32988EF2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color w:val="000000"/>
        </w:rPr>
        <w:t xml:space="preserve">6.8 </w:t>
      </w:r>
      <w:r w:rsidRPr="001A0D9F">
        <w:rPr>
          <w:rFonts w:ascii="Aptos" w:hAnsi="Aptos"/>
          <w:b/>
          <w:color w:val="000000"/>
        </w:rPr>
        <w:t>Art. 12 PPWR – Kennzeichnung von Verpackungen:</w:t>
      </w:r>
    </w:p>
    <w:p w14:paraId="5B65D524" w14:textId="4351F834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 xml:space="preserve">Spezifische Kennzeichnungsanforderungen werden nach Veröffentlichung der Durchführungsverordnung umgesetzt. </w:t>
      </w:r>
      <w:r w:rsidR="007D3DCA" w:rsidRPr="001A0D9F">
        <w:rPr>
          <w:rFonts w:ascii="Aptos" w:hAnsi="Aptos"/>
          <w:color w:val="000000"/>
        </w:rPr>
        <w:t xml:space="preserve">Ein GROW-Kennzeichnungssystem mit Rückverfolgbarkeit </w:t>
      </w:r>
      <w:r w:rsidR="00FE4376">
        <w:rPr>
          <w:rFonts w:ascii="Aptos" w:hAnsi="Aptos"/>
          <w:color w:val="000000"/>
        </w:rPr>
        <w:t xml:space="preserve">der gelieferten Verpackungen </w:t>
      </w:r>
      <w:r w:rsidR="007D3DCA" w:rsidRPr="001A0D9F">
        <w:rPr>
          <w:rFonts w:ascii="Aptos" w:hAnsi="Aptos"/>
          <w:color w:val="000000"/>
        </w:rPr>
        <w:t>existiert</w:t>
      </w:r>
      <w:r w:rsidRPr="001A0D9F">
        <w:rPr>
          <w:rFonts w:ascii="Aptos" w:hAnsi="Aptos"/>
          <w:color w:val="000000"/>
        </w:rPr>
        <w:t>. Ein</w:t>
      </w:r>
      <w:r w:rsidR="007D3DCA" w:rsidRPr="001A0D9F">
        <w:rPr>
          <w:rFonts w:ascii="Aptos" w:hAnsi="Aptos"/>
          <w:color w:val="000000"/>
        </w:rPr>
        <w:t xml:space="preserve">e </w:t>
      </w:r>
      <w:r w:rsidR="0024301F" w:rsidRPr="001A0D9F">
        <w:rPr>
          <w:rFonts w:ascii="Aptos" w:hAnsi="Aptos"/>
          <w:color w:val="000000"/>
        </w:rPr>
        <w:t xml:space="preserve">GROW-Kennnummer existiert </w:t>
      </w:r>
      <w:r w:rsidRPr="001A0D9F">
        <w:rPr>
          <w:rFonts w:ascii="Aptos" w:hAnsi="Aptos"/>
          <w:color w:val="000000"/>
        </w:rPr>
        <w:t xml:space="preserve">und </w:t>
      </w:r>
      <w:r w:rsidR="0024301F" w:rsidRPr="001A0D9F">
        <w:rPr>
          <w:rFonts w:ascii="Aptos" w:hAnsi="Aptos"/>
          <w:color w:val="000000"/>
        </w:rPr>
        <w:t>kann</w:t>
      </w:r>
      <w:r w:rsidRPr="001A0D9F">
        <w:rPr>
          <w:rFonts w:ascii="Aptos" w:hAnsi="Aptos"/>
          <w:color w:val="000000"/>
        </w:rPr>
        <w:t xml:space="preserve"> direkt auf der Kiste oder in den Lieferdokumenten angebracht werden. Transportverpackungen sind </w:t>
      </w:r>
      <w:r w:rsidR="00293E07">
        <w:rPr>
          <w:rFonts w:ascii="Aptos" w:hAnsi="Aptos"/>
          <w:color w:val="000000"/>
        </w:rPr>
        <w:t xml:space="preserve">gemäß PPWR </w:t>
      </w:r>
      <w:r w:rsidRPr="001A0D9F">
        <w:rPr>
          <w:rFonts w:ascii="Aptos" w:hAnsi="Aptos"/>
          <w:color w:val="000000"/>
        </w:rPr>
        <w:t>derzeit von der Kennzeichnungspflicht ausgenommen.</w:t>
      </w:r>
    </w:p>
    <w:p w14:paraId="6E25922B" w14:textId="77777777" w:rsidR="0018135C" w:rsidRPr="001A0D9F" w:rsidRDefault="0018135C" w:rsidP="0018135C">
      <w:pPr>
        <w:rPr>
          <w:rFonts w:ascii="Aptos" w:hAnsi="Aptos"/>
          <w:b/>
          <w:color w:val="000000"/>
        </w:rPr>
      </w:pPr>
      <w:r w:rsidRPr="001A0D9F">
        <w:rPr>
          <w:rFonts w:ascii="Aptos" w:hAnsi="Aptos"/>
          <w:b/>
          <w:color w:val="000000"/>
        </w:rPr>
        <w:t>7. Harmonisierte Standards und weitere technische Spezifikationen</w:t>
      </w:r>
    </w:p>
    <w:p w14:paraId="387B9801" w14:textId="730CA373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Die technischen Vorgaben sind in den GROW</w:t>
      </w:r>
      <w:r w:rsidR="00A2497B" w:rsidRPr="001A0D9F">
        <w:rPr>
          <w:rFonts w:ascii="Aptos" w:hAnsi="Aptos"/>
          <w:color w:val="000000"/>
        </w:rPr>
        <w:t xml:space="preserve"> Markenkriterien </w:t>
      </w:r>
      <w:r w:rsidRPr="001A0D9F">
        <w:rPr>
          <w:rFonts w:ascii="Aptos" w:hAnsi="Aptos"/>
          <w:color w:val="000000"/>
        </w:rPr>
        <w:t>für Herstellung festgelegt. Eine Zusammenfassung dieser Spezifikationen ist Bestandteil dieser Erklärung (Anhang 2).</w:t>
      </w:r>
    </w:p>
    <w:p w14:paraId="20A6E34B" w14:textId="77777777" w:rsidR="0018135C" w:rsidRPr="001A0D9F" w:rsidRDefault="0018135C" w:rsidP="0018135C">
      <w:pPr>
        <w:rPr>
          <w:rFonts w:ascii="Aptos" w:hAnsi="Aptos"/>
          <w:color w:val="000000"/>
        </w:rPr>
      </w:pPr>
      <w:r w:rsidRPr="001A0D9F">
        <w:rPr>
          <w:rFonts w:ascii="Aptos" w:hAnsi="Aptos"/>
          <w:color w:val="000000"/>
        </w:rPr>
        <w:t>Alle Vorgaben entsprechen internationalen Standards EN 13698-1 und EN 13429:2004. Die eingesetzten Holzwerkstoffe erfüllen die Anforderungen der REACH-Verordnung.</w:t>
      </w:r>
    </w:p>
    <w:p w14:paraId="17707D55" w14:textId="77777777" w:rsidR="0018135C" w:rsidRPr="001A0D9F" w:rsidRDefault="0018135C" w:rsidP="0018135C">
      <w:pPr>
        <w:rPr>
          <w:b/>
        </w:rPr>
      </w:pPr>
      <w:r w:rsidRPr="001A0D9F">
        <w:rPr>
          <w:b/>
        </w:rPr>
        <w:t>8. Notifizierte Stelle</w:t>
      </w:r>
    </w:p>
    <w:p w14:paraId="126EEC71" w14:textId="6D2B94A9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GROW</w:t>
      </w:r>
      <w:r w:rsidR="008E4C79">
        <w:rPr>
          <w:rFonts w:ascii="Calibri" w:hAnsi="Calibri" w:cs="Calibri"/>
          <w:color w:val="000000"/>
        </w:rPr>
        <w:t>-Lieferanten</w:t>
      </w:r>
      <w:r w:rsidRPr="001A0D9F">
        <w:rPr>
          <w:rFonts w:ascii="Calibri" w:hAnsi="Calibri" w:cs="Calibri"/>
          <w:color w:val="000000"/>
        </w:rPr>
        <w:t xml:space="preserve"> gewährleiste</w:t>
      </w:r>
      <w:r w:rsidR="008E4C79">
        <w:rPr>
          <w:rFonts w:ascii="Calibri" w:hAnsi="Calibri" w:cs="Calibri"/>
          <w:color w:val="000000"/>
        </w:rPr>
        <w:t>n</w:t>
      </w:r>
      <w:r w:rsidRPr="001A0D9F">
        <w:rPr>
          <w:rFonts w:ascii="Calibri" w:hAnsi="Calibri" w:cs="Calibri"/>
          <w:color w:val="000000"/>
        </w:rPr>
        <w:t xml:space="preserve"> die Einhaltung sämtlicher PPWR-Anforderungen im Rahmen der eigenen </w:t>
      </w:r>
      <w:r w:rsidR="00B61FBB" w:rsidRPr="001A0D9F">
        <w:rPr>
          <w:rFonts w:ascii="Calibri" w:hAnsi="Calibri" w:cs="Calibri"/>
          <w:color w:val="000000"/>
        </w:rPr>
        <w:t>Marken-</w:t>
      </w:r>
      <w:r w:rsidRPr="001A0D9F">
        <w:rPr>
          <w:rFonts w:ascii="Calibri" w:hAnsi="Calibri" w:cs="Calibri"/>
          <w:color w:val="000000"/>
        </w:rPr>
        <w:t>Qualitätssicherung.</w:t>
      </w:r>
      <w:r w:rsidR="00A50626">
        <w:rPr>
          <w:rFonts w:ascii="Calibri" w:hAnsi="Calibri" w:cs="Calibri"/>
          <w:color w:val="000000"/>
        </w:rPr>
        <w:t xml:space="preserve"> Das </w:t>
      </w:r>
      <w:r w:rsidR="00BC77D0">
        <w:rPr>
          <w:rFonts w:ascii="Calibri" w:hAnsi="Calibri" w:cs="Calibri"/>
          <w:color w:val="000000"/>
        </w:rPr>
        <w:t>extern</w:t>
      </w:r>
      <w:r w:rsidR="00D21A1B">
        <w:rPr>
          <w:rFonts w:ascii="Calibri" w:hAnsi="Calibri" w:cs="Calibri"/>
          <w:color w:val="000000"/>
        </w:rPr>
        <w:t xml:space="preserve"> überwachte</w:t>
      </w:r>
      <w:r w:rsidR="00BC77D0">
        <w:rPr>
          <w:rFonts w:ascii="Calibri" w:hAnsi="Calibri" w:cs="Calibri"/>
          <w:color w:val="000000"/>
        </w:rPr>
        <w:t xml:space="preserve"> </w:t>
      </w:r>
      <w:r w:rsidR="00A50626">
        <w:rPr>
          <w:rFonts w:ascii="Calibri" w:hAnsi="Calibri" w:cs="Calibri"/>
          <w:color w:val="000000"/>
        </w:rPr>
        <w:t>Zertifizierungssystem GROW-ECOWOOX ist im Aufbau.</w:t>
      </w:r>
    </w:p>
    <w:p w14:paraId="062FE01C" w14:textId="77777777" w:rsidR="0018135C" w:rsidRPr="001A0D9F" w:rsidRDefault="0018135C" w:rsidP="0018135C">
      <w:pPr>
        <w:rPr>
          <w:rFonts w:ascii="Calibri" w:hAnsi="Calibri" w:cs="Calibri"/>
          <w:b/>
          <w:color w:val="000000"/>
        </w:rPr>
      </w:pPr>
      <w:r w:rsidRPr="001A0D9F">
        <w:rPr>
          <w:rFonts w:ascii="Calibri" w:hAnsi="Calibri" w:cs="Calibri"/>
          <w:b/>
          <w:color w:val="000000"/>
        </w:rPr>
        <w:lastRenderedPageBreak/>
        <w:t>9. Zusätzliche Informationen</w:t>
      </w:r>
    </w:p>
    <w:p w14:paraId="73F2FA03" w14:textId="3663D115" w:rsidR="0018135C" w:rsidRPr="001A0D9F" w:rsidRDefault="0018135C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Alle Anforderungen der PPWR-Konformität werden durch die Qualitätssicherungsmaßnahmen </w:t>
      </w:r>
      <w:r w:rsidR="00CB1198">
        <w:rPr>
          <w:rFonts w:ascii="Calibri" w:hAnsi="Calibri" w:cs="Calibri"/>
          <w:color w:val="000000"/>
        </w:rPr>
        <w:t>des</w:t>
      </w:r>
      <w:r w:rsidRPr="001A0D9F">
        <w:rPr>
          <w:rFonts w:ascii="Calibri" w:hAnsi="Calibri" w:cs="Calibri"/>
          <w:color w:val="000000"/>
        </w:rPr>
        <w:t xml:space="preserve"> GROW</w:t>
      </w:r>
      <w:r w:rsidR="00CB1198">
        <w:rPr>
          <w:rFonts w:ascii="Calibri" w:hAnsi="Calibri" w:cs="Calibri"/>
          <w:color w:val="000000"/>
        </w:rPr>
        <w:t>-Lieferanten</w:t>
      </w:r>
      <w:r w:rsidRPr="001A0D9F">
        <w:rPr>
          <w:rFonts w:ascii="Calibri" w:hAnsi="Calibri" w:cs="Calibri"/>
          <w:color w:val="000000"/>
        </w:rPr>
        <w:t xml:space="preserve"> überprüft</w:t>
      </w:r>
      <w:r w:rsidR="00FC4ADB">
        <w:rPr>
          <w:rFonts w:ascii="Calibri" w:hAnsi="Calibri" w:cs="Calibri"/>
          <w:color w:val="000000"/>
        </w:rPr>
        <w:t xml:space="preserve"> und von diesem jährlich mit </w:t>
      </w:r>
      <w:proofErr w:type="spellStart"/>
      <w:r w:rsidR="00FC4ADB">
        <w:rPr>
          <w:rFonts w:ascii="Calibri" w:hAnsi="Calibri" w:cs="Calibri"/>
          <w:color w:val="000000"/>
        </w:rPr>
        <w:t>einerGROW</w:t>
      </w:r>
      <w:proofErr w:type="spellEnd"/>
      <w:r w:rsidR="00FC4ADB">
        <w:rPr>
          <w:rFonts w:ascii="Calibri" w:hAnsi="Calibri" w:cs="Calibri"/>
          <w:color w:val="000000"/>
        </w:rPr>
        <w:t>-Konformitätserklärung bestätigt.</w:t>
      </w:r>
      <w:r w:rsidRPr="001A0D9F">
        <w:rPr>
          <w:rFonts w:ascii="Calibri" w:hAnsi="Calibri" w:cs="Calibri"/>
          <w:color w:val="000000"/>
        </w:rPr>
        <w:t xml:space="preserve"> Regelmäßige Inspektionen der </w:t>
      </w:r>
      <w:r w:rsidR="00CB1198">
        <w:rPr>
          <w:rFonts w:ascii="Calibri" w:hAnsi="Calibri" w:cs="Calibri"/>
          <w:color w:val="000000"/>
        </w:rPr>
        <w:t>Lieferanten</w:t>
      </w:r>
      <w:r w:rsidRPr="001A0D9F">
        <w:rPr>
          <w:rFonts w:ascii="Calibri" w:hAnsi="Calibri" w:cs="Calibri"/>
          <w:color w:val="000000"/>
        </w:rPr>
        <w:t xml:space="preserve"> </w:t>
      </w:r>
      <w:r w:rsidR="00CB1198">
        <w:rPr>
          <w:rFonts w:ascii="Calibri" w:hAnsi="Calibri" w:cs="Calibri"/>
          <w:color w:val="000000"/>
        </w:rPr>
        <w:t xml:space="preserve">innerhalb </w:t>
      </w:r>
      <w:r w:rsidR="00242B64">
        <w:rPr>
          <w:rFonts w:ascii="Calibri" w:hAnsi="Calibri" w:cs="Calibri"/>
          <w:color w:val="000000"/>
        </w:rPr>
        <w:t>des GROW-Systems</w:t>
      </w:r>
      <w:r w:rsidRPr="001A0D9F">
        <w:rPr>
          <w:rFonts w:ascii="Calibri" w:hAnsi="Calibri" w:cs="Calibri"/>
          <w:color w:val="000000"/>
        </w:rPr>
        <w:t xml:space="preserve"> </w:t>
      </w:r>
      <w:r w:rsidR="00242B64">
        <w:rPr>
          <w:rFonts w:ascii="Calibri" w:hAnsi="Calibri" w:cs="Calibri"/>
          <w:color w:val="000000"/>
        </w:rPr>
        <w:t xml:space="preserve">prüfen die Einhaltung der </w:t>
      </w:r>
      <w:r w:rsidRPr="001A0D9F">
        <w:rPr>
          <w:rFonts w:ascii="Calibri" w:hAnsi="Calibri" w:cs="Calibri"/>
          <w:color w:val="000000"/>
        </w:rPr>
        <w:t>technische</w:t>
      </w:r>
      <w:r w:rsidR="00242B64">
        <w:rPr>
          <w:rFonts w:ascii="Calibri" w:hAnsi="Calibri" w:cs="Calibri"/>
          <w:color w:val="000000"/>
        </w:rPr>
        <w:t>n</w:t>
      </w:r>
      <w:r w:rsidRPr="001A0D9F">
        <w:rPr>
          <w:rFonts w:ascii="Calibri" w:hAnsi="Calibri" w:cs="Calibri"/>
          <w:color w:val="000000"/>
        </w:rPr>
        <w:t xml:space="preserve"> Vorschriften und Konformität mit PPWR. Die </w:t>
      </w:r>
      <w:r w:rsidR="004625EB" w:rsidRPr="001A0D9F">
        <w:rPr>
          <w:rFonts w:ascii="Calibri" w:hAnsi="Calibri" w:cs="Calibri"/>
          <w:color w:val="000000"/>
        </w:rPr>
        <w:t xml:space="preserve">Prüfung </w:t>
      </w:r>
      <w:r w:rsidRPr="001A0D9F">
        <w:rPr>
          <w:rFonts w:ascii="Calibri" w:hAnsi="Calibri" w:cs="Calibri"/>
          <w:color w:val="000000"/>
        </w:rPr>
        <w:t>und Lizenzierung dient als Nachweis für die PPWR-Konformität der von GROW lizenzierten Kisten. Die Verpackungen sind vollständig in der Spanplattenindustrie recycelbar und können sowohl getrennt als auch zusammen mit anderen recycelbaren Althölzern verarbeitet werden.</w:t>
      </w:r>
    </w:p>
    <w:p w14:paraId="49E66537" w14:textId="26E34B62" w:rsidR="0018135C" w:rsidRPr="001A0D9F" w:rsidRDefault="0018135C" w:rsidP="0018135C">
      <w:pPr>
        <w:rPr>
          <w:rFonts w:ascii="Calibri" w:hAnsi="Calibri" w:cs="Calibri"/>
          <w:color w:val="000000"/>
          <w:lang w:val="en-GB"/>
        </w:rPr>
      </w:pPr>
      <w:r w:rsidRPr="001A0D9F">
        <w:rPr>
          <w:rFonts w:ascii="Calibri" w:hAnsi="Calibri" w:cs="Calibri"/>
          <w:color w:val="000000"/>
          <w:lang w:val="en-GB"/>
        </w:rPr>
        <w:t xml:space="preserve">GROW e.V. – </w:t>
      </w:r>
      <w:r w:rsidR="00511042" w:rsidRPr="001A0D9F">
        <w:rPr>
          <w:rFonts w:ascii="Calibri" w:hAnsi="Calibri" w:cs="Calibri"/>
          <w:color w:val="000000"/>
          <w:lang w:val="en-GB"/>
        </w:rPr>
        <w:t>GROW GmbH</w:t>
      </w:r>
    </w:p>
    <w:p w14:paraId="3B4E7DF9" w14:textId="229856A4" w:rsidR="0018135C" w:rsidRPr="001A0D9F" w:rsidRDefault="004625EB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 xml:space="preserve">Maxdorf, </w:t>
      </w:r>
      <w:r w:rsidR="0018135C" w:rsidRPr="001A0D9F">
        <w:rPr>
          <w:rFonts w:ascii="Calibri" w:hAnsi="Calibri" w:cs="Calibri"/>
          <w:color w:val="000000"/>
        </w:rPr>
        <w:t xml:space="preserve">25. </w:t>
      </w:r>
      <w:r w:rsidR="00A36967" w:rsidRPr="001A0D9F">
        <w:rPr>
          <w:rFonts w:ascii="Calibri" w:hAnsi="Calibri" w:cs="Calibri"/>
          <w:color w:val="000000"/>
        </w:rPr>
        <w:t>Juni 2026</w:t>
      </w:r>
    </w:p>
    <w:p w14:paraId="0EBF1D96" w14:textId="77777777" w:rsidR="0018135C" w:rsidRPr="001A0D9F" w:rsidRDefault="0018135C" w:rsidP="0018135C">
      <w:pPr>
        <w:rPr>
          <w:rFonts w:ascii="Calibri" w:hAnsi="Calibri" w:cs="Calibri"/>
          <w:b/>
          <w:color w:val="000000"/>
        </w:rPr>
      </w:pPr>
      <w:r w:rsidRPr="001A0D9F">
        <w:rPr>
          <w:rFonts w:ascii="Calibri" w:hAnsi="Calibri" w:cs="Calibri"/>
          <w:b/>
          <w:color w:val="000000"/>
        </w:rPr>
        <w:t>Anhang 1</w:t>
      </w:r>
    </w:p>
    <w:p w14:paraId="11B48EC8" w14:textId="5A9D0EEA" w:rsidR="0018135C" w:rsidRPr="001A0D9F" w:rsidRDefault="00EF0C72" w:rsidP="0018135C">
      <w:pPr>
        <w:rPr>
          <w:rFonts w:ascii="Calibri" w:hAnsi="Calibri" w:cs="Calibri"/>
          <w:color w:val="000000"/>
        </w:rPr>
      </w:pPr>
      <w:r w:rsidRPr="001A0D9F">
        <w:rPr>
          <w:rFonts w:ascii="Calibri" w:hAnsi="Calibri" w:cs="Calibri"/>
          <w:color w:val="000000"/>
        </w:rPr>
        <w:t>Komponenten</w:t>
      </w:r>
      <w:r w:rsidR="0018135C" w:rsidRPr="001A0D9F">
        <w:rPr>
          <w:rFonts w:ascii="Calibri" w:hAnsi="Calibri" w:cs="Calibri"/>
          <w:color w:val="000000"/>
        </w:rPr>
        <w:t xml:space="preserve"> der GROW-Obst- und Gemüsekiste</w:t>
      </w:r>
    </w:p>
    <w:p w14:paraId="683DFA7E" w14:textId="79EB1336" w:rsidR="00A36967" w:rsidRDefault="004966DF" w:rsidP="00844AEF">
      <w:pPr>
        <w:jc w:val="center"/>
      </w:pPr>
      <w:r>
        <w:rPr>
          <w:noProof/>
        </w:rPr>
        <w:drawing>
          <wp:inline distT="0" distB="0" distL="0" distR="0" wp14:anchorId="4D9D68E2" wp14:editId="22254330">
            <wp:extent cx="5172075" cy="2059732"/>
            <wp:effectExtent l="0" t="0" r="0" b="0"/>
            <wp:docPr id="10392431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0" r="18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29" cy="20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0D166" w14:textId="6D03F404" w:rsidR="00197678" w:rsidRPr="00197678" w:rsidRDefault="00197678" w:rsidP="00197678">
      <w:pPr>
        <w:spacing w:before="86" w:line="240" w:lineRule="exact"/>
        <w:ind w:right="-567"/>
      </w:pPr>
      <w:r w:rsidRPr="00197678">
        <w:rPr>
          <w:rFonts w:ascii="Calibri" w:eastAsia="Calibri" w:hAnsi="Calibri" w:cs="Calibri"/>
          <w:b/>
          <w:bCs/>
          <w:color w:val="000000"/>
        </w:rPr>
        <w:t> </w:t>
      </w:r>
    </w:p>
    <w:p w14:paraId="3F9EB409" w14:textId="3091D0C3" w:rsidR="00A8310F" w:rsidRDefault="00741B31">
      <w:r>
        <w:rPr>
          <w:noProof/>
        </w:rPr>
        <w:drawing>
          <wp:inline distT="0" distB="0" distL="0" distR="0" wp14:anchorId="24A8FE06" wp14:editId="746AA003">
            <wp:extent cx="5760720" cy="2578327"/>
            <wp:effectExtent l="0" t="0" r="0" b="0"/>
            <wp:docPr id="1642356652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87" cy="258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5FEAA" w14:textId="0BC7978F" w:rsidR="00AE4D1C" w:rsidRDefault="00AE4D1C">
      <w:r>
        <w:t>Anhang 2:</w:t>
      </w:r>
    </w:p>
    <w:p w14:paraId="492CA3B2" w14:textId="58006D3C" w:rsidR="00AE4D1C" w:rsidRPr="00197678" w:rsidRDefault="00AE4D1C">
      <w:r>
        <w:t>GROW-</w:t>
      </w:r>
      <w:proofErr w:type="spellStart"/>
      <w:r>
        <w:t>Holzsteigenstandards</w:t>
      </w:r>
      <w:proofErr w:type="spellEnd"/>
      <w:r>
        <w:t xml:space="preserve"> (Flyer)</w:t>
      </w:r>
    </w:p>
    <w:sectPr w:rsidR="00AE4D1C" w:rsidRPr="001976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0851"/>
    <w:multiLevelType w:val="multilevel"/>
    <w:tmpl w:val="974C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31934"/>
    <w:multiLevelType w:val="hybridMultilevel"/>
    <w:tmpl w:val="2402DD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6213A2"/>
    <w:multiLevelType w:val="hybridMultilevel"/>
    <w:tmpl w:val="C44068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0009621">
    <w:abstractNumId w:val="0"/>
  </w:num>
  <w:num w:numId="2" w16cid:durableId="1778209428">
    <w:abstractNumId w:val="2"/>
  </w:num>
  <w:num w:numId="3" w16cid:durableId="167965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78"/>
    <w:rsid w:val="000E26DA"/>
    <w:rsid w:val="0013128C"/>
    <w:rsid w:val="00154E21"/>
    <w:rsid w:val="00161983"/>
    <w:rsid w:val="0018135C"/>
    <w:rsid w:val="00197678"/>
    <w:rsid w:val="001A0D9F"/>
    <w:rsid w:val="001A15ED"/>
    <w:rsid w:val="001D3256"/>
    <w:rsid w:val="001D4A8B"/>
    <w:rsid w:val="002373B4"/>
    <w:rsid w:val="00242B64"/>
    <w:rsid w:val="0024301F"/>
    <w:rsid w:val="0025183A"/>
    <w:rsid w:val="00280D25"/>
    <w:rsid w:val="002872C5"/>
    <w:rsid w:val="00293E07"/>
    <w:rsid w:val="00343B13"/>
    <w:rsid w:val="00352284"/>
    <w:rsid w:val="003534F5"/>
    <w:rsid w:val="00387DAD"/>
    <w:rsid w:val="003A6535"/>
    <w:rsid w:val="004005E5"/>
    <w:rsid w:val="0046072F"/>
    <w:rsid w:val="004625EB"/>
    <w:rsid w:val="004847BF"/>
    <w:rsid w:val="004966DF"/>
    <w:rsid w:val="00511042"/>
    <w:rsid w:val="005375AF"/>
    <w:rsid w:val="0054320D"/>
    <w:rsid w:val="00570A43"/>
    <w:rsid w:val="005B76CF"/>
    <w:rsid w:val="005C5386"/>
    <w:rsid w:val="00624881"/>
    <w:rsid w:val="00633B54"/>
    <w:rsid w:val="00640BCF"/>
    <w:rsid w:val="00645BA5"/>
    <w:rsid w:val="0070340F"/>
    <w:rsid w:val="00705C3F"/>
    <w:rsid w:val="00741B31"/>
    <w:rsid w:val="007C330F"/>
    <w:rsid w:val="007D1534"/>
    <w:rsid w:val="007D3DCA"/>
    <w:rsid w:val="007F0F9E"/>
    <w:rsid w:val="007F44BC"/>
    <w:rsid w:val="0083498E"/>
    <w:rsid w:val="00835036"/>
    <w:rsid w:val="00844AEF"/>
    <w:rsid w:val="00884564"/>
    <w:rsid w:val="0089063E"/>
    <w:rsid w:val="008A586B"/>
    <w:rsid w:val="008A6E1A"/>
    <w:rsid w:val="008C31C0"/>
    <w:rsid w:val="008E4C79"/>
    <w:rsid w:val="0090265C"/>
    <w:rsid w:val="00905748"/>
    <w:rsid w:val="00940EBE"/>
    <w:rsid w:val="00977E01"/>
    <w:rsid w:val="009C636B"/>
    <w:rsid w:val="00A2497B"/>
    <w:rsid w:val="00A35F79"/>
    <w:rsid w:val="00A36967"/>
    <w:rsid w:val="00A50626"/>
    <w:rsid w:val="00A8310F"/>
    <w:rsid w:val="00AD4C63"/>
    <w:rsid w:val="00AE4D1C"/>
    <w:rsid w:val="00AF1793"/>
    <w:rsid w:val="00B61FBB"/>
    <w:rsid w:val="00BB7A9C"/>
    <w:rsid w:val="00BC77D0"/>
    <w:rsid w:val="00C36034"/>
    <w:rsid w:val="00C8486C"/>
    <w:rsid w:val="00CB1198"/>
    <w:rsid w:val="00D2139D"/>
    <w:rsid w:val="00D21A1B"/>
    <w:rsid w:val="00D60163"/>
    <w:rsid w:val="00E676DA"/>
    <w:rsid w:val="00E81DD6"/>
    <w:rsid w:val="00EF0C72"/>
    <w:rsid w:val="00F67E60"/>
    <w:rsid w:val="00F83D37"/>
    <w:rsid w:val="00FC4ADB"/>
    <w:rsid w:val="00FE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3554"/>
  <w15:chartTrackingRefBased/>
  <w15:docId w15:val="{CD49016B-0430-462D-B51D-3A07B0DD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7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7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7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7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7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97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97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97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97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7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7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7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76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76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976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976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976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976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97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7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7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7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97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976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976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976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97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976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976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6098</Characters>
  <Application>Microsoft Office Word</Application>
  <DocSecurity>0</DocSecurity>
  <Lines>117</Lines>
  <Paragraphs>73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Groll</dc:creator>
  <cp:keywords/>
  <dc:description/>
  <cp:lastModifiedBy>Uwe Groll</cp:lastModifiedBy>
  <cp:revision>64</cp:revision>
  <dcterms:created xsi:type="dcterms:W3CDTF">2026-06-30T12:07:00Z</dcterms:created>
  <dcterms:modified xsi:type="dcterms:W3CDTF">2026-07-03T09:52:00Z</dcterms:modified>
</cp:coreProperties>
</file>